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Relationship Id="customR1" Type="http://schemas.openxmlformats.org/officeDocument/2006/relationships/custom-properties" Target="/docProps/custom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widowControl w:val="0"/>
        <w:pBdr>
          <w:top w:val="nil" w:sz="0" w:space="0" w:shadow="0" w:frame="0" w:color="auto"/>
          <w:left w:val="nil" w:sz="0" w:space="0" w:shadow="0" w:frame="0" w:color="auto"/>
          <w:bottom w:val="nil" w:sz="0" w:space="0" w:shadow="0" w:frame="0" w:color="auto"/>
          <w:right w:val="nil" w:sz="0" w:space="0" w:shadow="0" w:frame="0" w:color="auto"/>
          <w:between w:val="nil" w:sz="0" w:space="0" w:shadow="0" w:frame="0" w:color="auto"/>
        </w:pBdr>
        <w:spacing w:lineRule="auto" w:line="276" w:after="0" w:beforeAutospacing="0" w:afterAutospacing="0"/>
        <w:jc w:val="center"/>
        <w:rPr>
          <w:rFonts w:ascii="Times New Roman" w:hAnsi="Times New Roman" w:cs="Times New Roman" w:eastAsia="Times New Roman"/>
          <w:b w:val="1"/>
          <w:sz w:val="24"/>
          <w:szCs w:val="24"/>
          <w:lang w:eastAsia="uk-UA"/>
        </w:rPr>
      </w:pPr>
      <w:r>
        <w:rPr>
          <w:rFonts w:ascii="Times New Roman" w:hAnsi="Times New Roman" w:cs="Times New Roman" w:eastAsia="Times New Roman"/>
          <w:b w:val="1"/>
          <w:sz w:val="24"/>
          <w:szCs w:val="24"/>
          <w:lang w:eastAsia="uk-UA"/>
        </w:rPr>
        <w:t>ПРОТОКОЛ ПРО ПІДСУМКИ ГОЛОСУВАННЯ</w:t>
      </w:r>
    </w:p>
    <w:p>
      <w:pPr>
        <w:widowControl w:val="0"/>
        <w:pBdr>
          <w:top w:val="nil" w:sz="0" w:space="0" w:shadow="0" w:frame="0" w:color="auto"/>
          <w:left w:val="nil" w:sz="0" w:space="0" w:shadow="0" w:frame="0" w:color="auto"/>
          <w:bottom w:val="nil" w:sz="0" w:space="0" w:shadow="0" w:frame="0" w:color="auto"/>
          <w:right w:val="nil" w:sz="0" w:space="0" w:shadow="0" w:frame="0" w:color="auto"/>
          <w:between w:val="nil" w:sz="0" w:space="0" w:shadow="0" w:frame="0" w:color="auto"/>
        </w:pBdr>
        <w:spacing w:lineRule="auto" w:line="276" w:after="0" w:beforeAutospacing="0" w:afterAutospacing="0"/>
        <w:jc w:val="center"/>
        <w:rPr>
          <w:rFonts w:ascii="Times New Roman" w:hAnsi="Times New Roman" w:cs="Times New Roman" w:eastAsia="Times New Roman"/>
          <w:b w:val="1"/>
          <w:bCs w:val="1"/>
          <w:sz w:val="24"/>
          <w:szCs w:val="24"/>
          <w:lang w:eastAsia="uk-UA"/>
        </w:rPr>
      </w:pPr>
      <w:r>
        <w:rPr>
          <w:rFonts w:ascii="Times New Roman" w:hAnsi="Times New Roman" w:cs="Times New Roman" w:eastAsia="Times New Roman"/>
          <w:b w:val="1"/>
          <w:sz w:val="24"/>
          <w:szCs w:val="24"/>
          <w:lang w:eastAsia="ru-RU"/>
        </w:rPr>
        <w:t>Позачергові</w:t>
      </w:r>
      <w:r>
        <w:rPr>
          <w:rFonts w:ascii="Times New Roman" w:hAnsi="Times New Roman" w:cs="Times New Roman" w:eastAsia="Times New Roman"/>
          <w:bCs w:val="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 w:val="1"/>
          <w:bCs w:val="1"/>
          <w:sz w:val="24"/>
          <w:szCs w:val="24"/>
          <w:lang w:eastAsia="uk-UA"/>
        </w:rPr>
        <w:t xml:space="preserve">загальні збори акціонерів (далі – Загальні збори) </w:t>
      </w:r>
    </w:p>
    <w:p>
      <w:pPr>
        <w:widowControl w:val="0"/>
        <w:pBdr>
          <w:top w:val="nil" w:sz="0" w:space="0" w:shadow="0" w:frame="0" w:color="auto"/>
          <w:left w:val="nil" w:sz="0" w:space="0" w:shadow="0" w:frame="0" w:color="auto"/>
          <w:bottom w:val="nil" w:sz="0" w:space="0" w:shadow="0" w:frame="0" w:color="auto"/>
          <w:right w:val="nil" w:sz="0" w:space="0" w:shadow="0" w:frame="0" w:color="auto"/>
          <w:between w:val="nil" w:sz="0" w:space="0" w:shadow="0" w:frame="0" w:color="auto"/>
        </w:pBdr>
        <w:spacing w:lineRule="auto" w:line="276" w:after="0" w:beforeAutospacing="0" w:afterAutospacing="0"/>
        <w:jc w:val="center"/>
        <w:rPr>
          <w:rFonts w:ascii="Times New Roman" w:hAnsi="Times New Roman" w:cs="Times New Roman" w:eastAsia="Times New Roman"/>
          <w:b w:val="1"/>
          <w:sz w:val="24"/>
          <w:szCs w:val="24"/>
          <w:lang w:eastAsia="uk-UA"/>
        </w:rPr>
      </w:pPr>
      <w:r>
        <w:rPr>
          <w:rFonts w:ascii="Times New Roman" w:hAnsi="Times New Roman" w:cs="Times New Roman" w:eastAsia="Times New Roman"/>
          <w:b w:val="1"/>
          <w:sz w:val="24"/>
          <w:szCs w:val="24"/>
          <w:lang w:eastAsia="uk-UA"/>
        </w:rPr>
        <w:t xml:space="preserve">ПРИВАТНЕ АКЦІОНЕРНЕ ТОВАРИСТВО "АГРОТЕХСЕРВІС" </w:t>
      </w:r>
    </w:p>
    <w:p>
      <w:pPr>
        <w:widowControl w:val="0"/>
        <w:pBdr>
          <w:top w:val="nil" w:sz="0" w:space="0" w:shadow="0" w:frame="0" w:color="auto"/>
          <w:left w:val="nil" w:sz="0" w:space="0" w:shadow="0" w:frame="0" w:color="auto"/>
          <w:bottom w:val="nil" w:sz="0" w:space="0" w:shadow="0" w:frame="0" w:color="auto"/>
          <w:right w:val="nil" w:sz="0" w:space="0" w:shadow="0" w:frame="0" w:color="auto"/>
          <w:between w:val="nil" w:sz="0" w:space="0" w:shadow="0" w:frame="0" w:color="auto"/>
        </w:pBdr>
        <w:spacing w:lineRule="auto" w:line="276" w:after="0" w:beforeAutospacing="0" w:afterAutospacing="0"/>
        <w:jc w:val="center"/>
        <w:rPr>
          <w:rFonts w:ascii="Times New Roman" w:hAnsi="Times New Roman" w:cs="Times New Roman" w:eastAsia="Times New Roman"/>
          <w:b w:val="1"/>
          <w:sz w:val="24"/>
          <w:szCs w:val="24"/>
          <w:lang w:eastAsia="uk-UA"/>
        </w:rPr>
      </w:pPr>
      <w:r>
        <w:rPr>
          <w:rFonts w:ascii="Times New Roman" w:hAnsi="Times New Roman" w:cs="Times New Roman" w:eastAsia="Times New Roman"/>
          <w:b w:val="1"/>
          <w:sz w:val="24"/>
          <w:szCs w:val="24"/>
          <w:lang w:eastAsia="uk-UA"/>
        </w:rPr>
        <w:t>(код за ЄДРПОУ 03766458, далі - Товариство)</w:t>
      </w:r>
    </w:p>
    <w:p>
      <w:pPr>
        <w:widowControl w:val="0"/>
        <w:pBdr>
          <w:top w:val="nil" w:sz="0" w:space="0" w:shadow="0" w:frame="0" w:color="auto"/>
          <w:left w:val="nil" w:sz="0" w:space="0" w:shadow="0" w:frame="0" w:color="auto"/>
          <w:bottom w:val="nil" w:sz="0" w:space="0" w:shadow="0" w:frame="0" w:color="auto"/>
          <w:right w:val="nil" w:sz="0" w:space="0" w:shadow="0" w:frame="0" w:color="auto"/>
          <w:between w:val="nil" w:sz="0" w:space="0" w:shadow="0" w:frame="0" w:color="auto"/>
        </w:pBdr>
        <w:spacing w:lineRule="auto" w:line="276" w:after="0" w:beforeAutospacing="0" w:afterAutospacing="0"/>
        <w:jc w:val="center"/>
        <w:rPr>
          <w:rFonts w:ascii="Times New Roman" w:hAnsi="Times New Roman" w:cs="Times New Roman" w:eastAsia="Times New Roman"/>
          <w:b w:val="1"/>
          <w:sz w:val="24"/>
          <w:szCs w:val="24"/>
          <w:lang w:eastAsia="uk-UA"/>
        </w:rPr>
      </w:pPr>
    </w:p>
    <w:tbl>
      <w:tblPr>
        <w:tblStyle w:val="T2"/>
        <w:tblW w:w="0" w:type="auto"/>
        <w:tblInd w:w="-284" w:type="dxa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5529" w:type="dxa"/>
          </w:tcPr>
          <w:p>
            <w:pPr>
              <w:widowControl w:val="0"/>
              <w:spacing w:lineRule="auto" w:line="276" w:before="240" w:beforeAutospacing="0" w:afterAutospacing="0"/>
              <w:jc w:val="both"/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  <w:t>Дата проведення Загальних зборів:</w:t>
              <w:tab/>
            </w:r>
          </w:p>
        </w:tc>
        <w:tc>
          <w:tcPr>
            <w:tcW w:w="4100" w:type="dxa"/>
          </w:tcPr>
          <w:p>
            <w:pPr>
              <w:widowControl w:val="0"/>
              <w:spacing w:lineRule="auto" w:line="276" w:before="240" w:beforeAutospacing="0" w:afterAutospacing="0"/>
              <w:jc w:val="both"/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  <w:t>14.08.2025</w:t>
            </w:r>
          </w:p>
        </w:tc>
      </w:tr>
      <w:tr>
        <w:tc>
          <w:tcPr>
            <w:tcW w:w="5529" w:type="dxa"/>
          </w:tcPr>
          <w:p>
            <w:pPr>
              <w:widowControl w:val="0"/>
              <w:spacing w:lineRule="auto" w:line="276" w:before="240" w:beforeAutospacing="0" w:afterAutospacing="0"/>
              <w:jc w:val="both"/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  <w:t>Спосіб проведення Загальних зборів:</w:t>
            </w:r>
          </w:p>
        </w:tc>
        <w:tc>
          <w:tcPr>
            <w:tcW w:w="4100" w:type="dxa"/>
          </w:tcPr>
          <w:p>
            <w:pPr>
              <w:widowControl w:val="0"/>
              <w:spacing w:lineRule="auto" w:line="276" w:before="240" w:beforeAutospacing="0" w:afterAutospacing="0"/>
              <w:jc w:val="both"/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  <w:t>Шляхом електронного голосування</w:t>
            </w:r>
          </w:p>
        </w:tc>
      </w:tr>
      <w:tr>
        <w:tc>
          <w:tcPr>
            <w:tcW w:w="5529" w:type="dxa"/>
          </w:tcPr>
          <w:p>
            <w:pPr>
              <w:widowControl w:val="0"/>
              <w:spacing w:lineRule="auto" w:line="276" w:before="240" w:beforeAutospacing="0" w:afterAutospacing="0"/>
              <w:jc w:val="both"/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  <w:t>Дата проведення голосування:</w:t>
            </w:r>
          </w:p>
        </w:tc>
        <w:tc>
          <w:tcPr>
            <w:tcW w:w="4100" w:type="dxa"/>
          </w:tcPr>
          <w:p>
            <w:pPr>
              <w:widowControl w:val="0"/>
              <w:spacing w:lineRule="auto" w:line="276" w:before="240" w:beforeAutospacing="0" w:afterAutospacing="0"/>
              <w:jc w:val="both"/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  <w:t>14.08.2025</w:t>
            </w:r>
          </w:p>
        </w:tc>
      </w:tr>
    </w:tbl>
    <w:p>
      <w:pPr>
        <w:widowControl w:val="0"/>
        <w:pBdr>
          <w:top w:val="nil" w:sz="0" w:space="0" w:shadow="0" w:frame="0" w:color="auto"/>
          <w:left w:val="nil" w:sz="0" w:space="0" w:shadow="0" w:frame="0" w:color="auto"/>
          <w:bottom w:val="nil" w:sz="0" w:space="0" w:shadow="0" w:frame="0" w:color="auto"/>
          <w:right w:val="nil" w:sz="0" w:space="0" w:shadow="0" w:frame="0" w:color="auto"/>
          <w:between w:val="nil" w:sz="0" w:space="0" w:shadow="0" w:frame="0" w:color="auto"/>
        </w:pBdr>
        <w:spacing w:lineRule="auto" w:line="276" w:after="0" w:beforeAutospacing="0" w:afterAutospacing="0"/>
        <w:jc w:val="center"/>
        <w:rPr>
          <w:rFonts w:ascii="Times New Roman" w:hAnsi="Times New Roman" w:cs="Times New Roman" w:eastAsia="Times New Roman"/>
          <w:b w:val="1"/>
          <w:sz w:val="24"/>
          <w:szCs w:val="24"/>
          <w:lang w:eastAsia="uk-UA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tbl>
      <w:tblPr>
        <w:tblStyle w:val="T2"/>
        <w:tblW w:w="0" w:type="auto"/>
        <w:tblInd w:w="-284" w:type="dxa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14128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Особи, уповноважені взаємодіяти з Авторизованою електронною системою:</w:t>
            </w:r>
          </w:p>
        </w:tc>
      </w:tr>
    </w:tbl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1. Голодненко Вікторія Олександрівна</w:t>
      </w: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2. Подзізей Марта Ігорівна</w:t>
      </w: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3. Цубера Ігор Васильович </w:t>
      </w:r>
    </w:p>
    <w:p>
      <w:pPr>
        <w:tabs>
          <w:tab w:val="left" w:pos="851" w:leader="none"/>
        </w:tabs>
        <w:spacing w:lineRule="auto" w:line="240" w:before="40" w:after="40" w:beforeAutospacing="0" w:afterAutospacing="0"/>
        <w:ind w:firstLine="568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tabs>
          <w:tab w:val="left" w:pos="851" w:leader="none"/>
        </w:tabs>
        <w:spacing w:lineRule="auto" w:line="240" w:before="40" w:after="40" w:beforeAutospacing="0" w:afterAutospacing="0"/>
        <w:ind w:firstLine="568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ind w:left="-142"/>
        <w:rPr>
          <w:rFonts w:ascii="Times New Roman" w:hAnsi="Times New Roman" w:cs="Times New Roman"/>
          <w:b w:val="1"/>
          <w:bCs w:val="1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>Питання, винесене на голосування:</w:t>
      </w:r>
    </w:p>
    <w:p>
      <w:pPr>
        <w:widowControl w:val="0"/>
        <w:spacing w:before="240" w:beforeAutospacing="0" w:afterAutospacing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Прийняття рішення про відміну рішень прийнятих на електронних позачергових загальних зборах акціонерів ПрАТ “АГРОТЕХСЕРВІС”, які відбулися: «20» березня 2025 року (питання №1, 2).</w:t>
      </w:r>
    </w:p>
    <w:p>
      <w:pPr>
        <w:widowControl w:val="0"/>
        <w:spacing w:before="240" w:beforeAutospacing="0" w:afterAutospacing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Правило прийняття рішення: Більшістю голосів (від зареєструвавшихся)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</w:p>
    <w:p>
      <w:pPr>
        <w:ind w:left="-142"/>
        <w:rPr>
          <w:rFonts w:ascii="Times New Roman" w:hAnsi="Times New Roman" w:cs="Times New Roman"/>
          <w:b w:val="1"/>
          <w:bCs w:val="1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Проект рішення </w:t>
      </w:r>
      <w:r>
        <w:rPr>
          <w:rFonts w:cs="Times New Roman" w:eastAsia="Times New Roman"/>
          <w:b w:val="1"/>
          <w:i w:val="1"/>
          <w:bCs w:val="1"/>
          <w:iCs w:val="1"/>
        </w:rPr>
        <w:t>1</w:t>
      </w:r>
      <w:r>
        <w:rPr>
          <w:rFonts w:ascii="Times New Roman" w:hAnsi="Times New Roman" w:cs="Times New Roman"/>
          <w:b w:val="1"/>
          <w:bCs w:val="1"/>
          <w:sz w:val="24"/>
          <w:szCs w:val="24"/>
        </w:rPr>
        <w:t>: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зв’язку із зміною суб’єкта аудиторської діяльності (аудиторської фірми) для надання послуг ПрАТ “АГРОТЕХСЕРВІС” з обов’язкового аудиту фінансової звітності за 2024 рік, відмінити прийняті рішення на електронних позачергових загальних зборах акціонерів ПрАТ “АГРОТЕХСЕРВІС”, які відбулися: «20» березня 2025 року по питанням: 1. Прийняття рішення про призначення (обрання) суб’єкта аудиторської діяльності (аудиторської фірми) для надання послуг ПрАТ “АГРОТЕХСЕРВІС” з обов’язкового аудиту фінансової звітності за 2024 рік. 2. Прийняття рішення про надання доручення на укладення та підписання договору на проведення ПрАТ “АГРОТЕХСЕРВІС” обов’язкового аудиту фінансової звітності за 2024 рік.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Підсумки голосування: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"ЗА" -  66959 голосів, що становить 100,00%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"ПРОТИ" – 0 голосів, що становить 0,00% кількості голосів акціонерів, які зареєструвалися для участі у загальних зборах та є власниками голосуючих простих іменних акцій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акціонерів, які не брали участі у голосуванні – 0 голосів.</w:t>
      </w:r>
    </w:p>
    <w:p>
      <w:pPr>
        <w:spacing w:after="0" w:beforeAutospacing="0" w:afterAutospacing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 за бюлетенями, визнаними недійсними - 0 голосів.</w:t>
      </w:r>
    </w:p>
    <w:p>
      <w:pPr>
        <w:spacing w:after="120" w:beforeAutospacing="0" w:afterAutospacing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>Рішення прийнято.</w:t>
      </w:r>
      <w:r>
        <w:rPr>
          <w:rFonts w:ascii="Times New Roman" w:hAnsi="Times New Roman" w:cs="Times New Roman"/>
          <w:b w:val="1"/>
          <w:bCs w:val="1"/>
          <w:sz w:val="24"/>
          <w:szCs w:val="24"/>
          <w:lang w:val="en-US"/>
        </w:rPr>
        <w:t xml:space="preserve"> </w:t>
      </w:r>
    </w:p>
    <w:p>
      <w:pPr>
        <w:spacing w:after="120" w:beforeAutospacing="0" w:afterAutospacing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  <w:lang w:val="en-US"/>
        </w:rPr>
        <w:t xml:space="preserve">Вирішили: </w:t>
      </w:r>
      <w:bookmarkStart w:id="0" w:name="_Hlk142853532"/>
      <w:r>
        <w:rPr>
          <w:rFonts w:ascii="Times New Roman" w:hAnsi="Times New Roman" w:cs="Times New Roman"/>
          <w:sz w:val="24"/>
          <w:szCs w:val="24"/>
        </w:rPr>
        <w:t>У зв’язку із зміною суб’єкта аудиторської діяльності (аудиторської фірми) для надання послуг ПрАТ “АГРОТЕХСЕРВІС” з обов’язкового аудиту фінансової звітності за 2024 рік, відмінити прийняті рішення на електронних позачергових загальних зборах акціонерів ПрАТ “АГРОТЕХСЕРВІС”, які відбулися: «20» березня 2025 року по питанням: 1. Прийняття рішення про призначення (обрання) суб’єкта аудиторської діяльності (аудиторської фірми) для надання послуг ПрАТ “АГРОТЕХСЕРВІС” з обов’язкового аудиту фінансової звітності за 2024 рік. 2. Прийняття рішення про надання доручення на укладення та підписання договору на проведення ПрАТ “АГРОТЕХСЕРВІС” обов’язкового аудиту фінансової звітності за 2024 рік.</w:t>
      </w:r>
    </w:p>
    <w:p>
      <w:pPr>
        <w:tabs>
          <w:tab w:val="left" w:pos="851" w:leader="none"/>
        </w:tabs>
        <w:spacing w:lineRule="auto" w:line="240" w:before="40" w:after="40" w:beforeAutospacing="0" w:afterAutospacing="0"/>
        <w:ind w:firstLine="568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bookmarkEnd w:id="0"/>
    </w:p>
    <w:p>
      <w:pPr>
        <w:ind w:left="-142"/>
        <w:rPr>
          <w:rFonts w:ascii="Times New Roman" w:hAnsi="Times New Roman" w:cs="Times New Roman"/>
          <w:b w:val="1"/>
          <w:bCs w:val="1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>Питання, винесене на голосування:</w:t>
      </w:r>
    </w:p>
    <w:p>
      <w:pPr>
        <w:widowControl w:val="0"/>
        <w:spacing w:before="240" w:beforeAutospacing="0" w:afterAutospacing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Прийняття рішення про призначення (обрання) суб’єкта аудиторської діяльності (аудиторської фірми) для надання послуг ПрАТ “АГРОТЕХСЕРВІС” з обов’язкового аудиту фінансової звітності за 2024 рік.</w:t>
      </w:r>
    </w:p>
    <w:p>
      <w:pPr>
        <w:widowControl w:val="0"/>
        <w:spacing w:before="240" w:beforeAutospacing="0" w:afterAutospacing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Правило прийняття рішення: Більшістю голосів (від зареєструвавшихся)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</w:p>
    <w:p>
      <w:pPr>
        <w:ind w:left="-142"/>
        <w:rPr>
          <w:rFonts w:ascii="Times New Roman" w:hAnsi="Times New Roman" w:cs="Times New Roman"/>
          <w:b w:val="1"/>
          <w:bCs w:val="1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Проект рішення </w:t>
      </w:r>
      <w:r>
        <w:rPr>
          <w:rFonts w:cs="Times New Roman" w:eastAsia="Times New Roman"/>
          <w:b w:val="1"/>
          <w:i w:val="1"/>
          <w:bCs w:val="1"/>
          <w:iCs w:val="1"/>
        </w:rPr>
        <w:t>1</w:t>
      </w:r>
      <w:r>
        <w:rPr>
          <w:rFonts w:ascii="Times New Roman" w:hAnsi="Times New Roman" w:cs="Times New Roman"/>
          <w:b w:val="1"/>
          <w:bCs w:val="1"/>
          <w:sz w:val="24"/>
          <w:szCs w:val="24"/>
        </w:rPr>
        <w:t>: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Призначити (обрати) ТОВАРИСТВО З ОБМЕЖЕНОЮ ВІДПОВІДАЛЬНІСТЮ "АУДИТОРСЬКА ФІРМА "ОЛЕСЯ" (ідентифікаційний код юридичної особи: 22930490) суб’єкта аудиторської діяльності (зовнішнього аудитора (аудиторську фірму)) для надання послуг з обов’язкового аудиту фінансової звітності ПрАТ “АГРОТЕХСЕРВІС” за 2024 рік.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Підсумки голосування: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"ЗА" -  66959 голосів, що становить 100,00%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"ПРОТИ" – 0 голосів, що становить 0,00% кількості голосів акціонерів, які зареєструвалися для участі у загальних зборах та є власниками голосуючих простих іменних акцій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акціонерів, які не брали участі у голосуванні – 0 голосів.</w:t>
      </w:r>
    </w:p>
    <w:p>
      <w:pPr>
        <w:spacing w:after="0" w:beforeAutospacing="0" w:afterAutospacing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 за бюлетенями, визнаними недійсними - 0 голосів.</w:t>
      </w:r>
    </w:p>
    <w:p>
      <w:pPr>
        <w:spacing w:after="120" w:beforeAutospacing="0" w:afterAutospacing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>Рішення прийнято.</w:t>
      </w:r>
      <w:r>
        <w:rPr>
          <w:rFonts w:ascii="Times New Roman" w:hAnsi="Times New Roman" w:cs="Times New Roman"/>
          <w:b w:val="1"/>
          <w:bCs w:val="1"/>
          <w:sz w:val="24"/>
          <w:szCs w:val="24"/>
          <w:lang w:val="en-US"/>
        </w:rPr>
        <w:t xml:space="preserve"> </w:t>
      </w:r>
    </w:p>
    <w:p>
      <w:pPr>
        <w:spacing w:after="120" w:beforeAutospacing="0" w:afterAutospacing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  <w:lang w:val="en-US"/>
        </w:rPr>
        <w:t xml:space="preserve">Вирішили: </w:t>
      </w:r>
      <w:bookmarkStart w:id="1" w:name="_Hlk142853532"/>
      <w:r>
        <w:rPr>
          <w:rFonts w:ascii="Times New Roman" w:hAnsi="Times New Roman" w:cs="Times New Roman"/>
          <w:sz w:val="24"/>
          <w:szCs w:val="24"/>
        </w:rPr>
        <w:t>Призначити (обрати) ТОВАРИСТВО З ОБМЕЖЕНОЮ ВІДПОВІДАЛЬНІСТЮ "АУДИТОРСЬКА ФІРМА "ОЛЕСЯ" (ідентифікаційний код юридичної особи: 22930490) суб’єкта аудиторської діяльності (зовнішнього аудитора (аудиторську фірму)) для надання послуг з обов’язкового аудиту фінансової звітності ПрАТ “АГРОТЕХСЕРВІС” за 2024 рік.</w:t>
      </w:r>
    </w:p>
    <w:p>
      <w:pPr>
        <w:tabs>
          <w:tab w:val="left" w:pos="851" w:leader="none"/>
        </w:tabs>
        <w:spacing w:lineRule="auto" w:line="240" w:before="40" w:after="40" w:beforeAutospacing="0" w:afterAutospacing="0"/>
        <w:ind w:firstLine="568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bookmarkEnd w:id="1"/>
    </w:p>
    <w:p>
      <w:pPr>
        <w:ind w:left="-142"/>
        <w:rPr>
          <w:rFonts w:ascii="Times New Roman" w:hAnsi="Times New Roman" w:cs="Times New Roman"/>
          <w:b w:val="1"/>
          <w:bCs w:val="1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>Питання, винесене на голосування:</w:t>
      </w:r>
    </w:p>
    <w:p>
      <w:pPr>
        <w:widowControl w:val="0"/>
        <w:spacing w:before="240" w:beforeAutospacing="0" w:afterAutospacing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Прийняття рішення про надання доручення на укладення та підписання договору на проведення ПрАТ “АГРОТЕХСЕРВІС” обов’язкового аудиту фінансової звітності за 2024 рік.</w:t>
      </w:r>
    </w:p>
    <w:p>
      <w:pPr>
        <w:widowControl w:val="0"/>
        <w:spacing w:before="240" w:beforeAutospacing="0" w:afterAutospacing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Правило прийняття рішення: Більшістю голосів (від зареєструвавшихся)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</w:p>
    <w:p>
      <w:pPr>
        <w:ind w:left="-142"/>
        <w:rPr>
          <w:rFonts w:ascii="Times New Roman" w:hAnsi="Times New Roman" w:cs="Times New Roman"/>
          <w:b w:val="1"/>
          <w:bCs w:val="1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Проект рішення </w:t>
      </w:r>
      <w:r>
        <w:rPr>
          <w:rFonts w:cs="Times New Roman" w:eastAsia="Times New Roman"/>
          <w:b w:val="1"/>
          <w:i w:val="1"/>
          <w:bCs w:val="1"/>
          <w:iCs w:val="1"/>
        </w:rPr>
        <w:t>1</w:t>
      </w:r>
      <w:r>
        <w:rPr>
          <w:rFonts w:ascii="Times New Roman" w:hAnsi="Times New Roman" w:cs="Times New Roman"/>
          <w:b w:val="1"/>
          <w:bCs w:val="1"/>
          <w:sz w:val="24"/>
          <w:szCs w:val="24"/>
        </w:rPr>
        <w:t>: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Доручити укласти та підписати договір з ТОВАРИСТВО З ОБМЕЖЕНОЮ ВІДПОВІДАЛЬНІСТЮ "АУДИТОРСЬКА ФІРМА "ОЛЕСЯ" (ідентифікаційний код юридичної особи: 22930490) на проведення ПрАТ “АГРОТЕХСЕРВІС” обов’язкового аудиту фінансової звітності за 2024 рік, а саме: Голові комісії з припинення – Форостяній Ользі Миколаївні з правом передоручення третім особам.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Підсумки голосування: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"ЗА" -  66959 голосів, що становить 100,00%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"ПРОТИ" – 0 голосів, що становить 0,00% кількості голосів акціонерів, які зареєструвалися для участі у загальних зборах та є власниками голосуючих простих іменних акцій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акціонерів, які не брали участі у голосуванні – 0 голосів.</w:t>
      </w:r>
    </w:p>
    <w:p>
      <w:pPr>
        <w:spacing w:after="0" w:beforeAutospacing="0" w:afterAutospacing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 за бюлетенями, визнаними недійсними - 0 голосів.</w:t>
      </w:r>
    </w:p>
    <w:p>
      <w:pPr>
        <w:spacing w:after="120" w:beforeAutospacing="0" w:afterAutospacing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>Рішення прийнято.</w:t>
      </w:r>
      <w:r>
        <w:rPr>
          <w:rFonts w:ascii="Times New Roman" w:hAnsi="Times New Roman" w:cs="Times New Roman"/>
          <w:b w:val="1"/>
          <w:bCs w:val="1"/>
          <w:sz w:val="24"/>
          <w:szCs w:val="24"/>
          <w:lang w:val="en-US"/>
        </w:rPr>
        <w:t xml:space="preserve"> </w:t>
      </w:r>
    </w:p>
    <w:p>
      <w:pPr>
        <w:spacing w:after="120" w:beforeAutospacing="0" w:afterAutospacing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  <w:lang w:val="en-US"/>
        </w:rPr>
        <w:t xml:space="preserve">Вирішили: </w:t>
      </w:r>
      <w:bookmarkStart w:id="2" w:name="_Hlk142853532"/>
      <w:r>
        <w:rPr>
          <w:rFonts w:ascii="Times New Roman" w:hAnsi="Times New Roman" w:cs="Times New Roman"/>
          <w:sz w:val="24"/>
          <w:szCs w:val="24"/>
        </w:rPr>
        <w:t>Доручити укласти та підписати договір з ТОВАРИСТВО З ОБМЕЖЕНОЮ ВІДПОВІДАЛЬНІСТЮ "АУДИТОРСЬКА ФІРМА "ОЛЕСЯ" (ідентифікаційний код юридичної особи: 22930490) на проведення ПрАТ “АГРОТЕХСЕРВІС” обов’язкового аудиту фінансової звітності за 2024 рік, а саме: Голові комісії з припинення – Форостяній Ользі Миколаївні з правом передоручення третім особам.</w:t>
      </w:r>
    </w:p>
    <w:p>
      <w:pPr>
        <w:tabs>
          <w:tab w:val="left" w:pos="851" w:leader="none"/>
        </w:tabs>
        <w:spacing w:lineRule="auto" w:line="240" w:after="0" w:beforeAutospacing="0" w:afterAutospacing="0"/>
        <w:ind w:firstLine="567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bookmarkEnd w:id="2"/>
      <w:r>
        <w:rPr>
          <w:rFonts w:ascii="Times New Roman" w:hAnsi="Times New Roman" w:cs="Times New Roman" w:eastAsia="Times New Roman"/>
          <w:sz w:val="16"/>
          <w:szCs w:val="16"/>
          <w:lang w:eastAsia="ru-RU"/>
        </w:rPr>
        <w:t xml:space="preserve">  </w:t>
      </w: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 xml:space="preserve"> </w:t>
      </w:r>
    </w:p>
    <w:p>
      <w:pPr>
        <w:spacing w:lineRule="auto" w:line="256" w:beforeAutospacing="0" w:afterAutospacing="0"/>
        <w:ind w:left="-142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 </w:t>
      </w:r>
    </w:p>
    <w:p>
      <w:pPr>
        <w:ind w:left="-142"/>
        <w:rPr>
          <w:rFonts w:ascii="Times New Roman" w:hAnsi="Times New Roman" w:cs="Times New Roman" w:eastAsia="Calibri"/>
          <w:b w:val="1"/>
          <w:bCs w:val="1"/>
          <w:sz w:val="24"/>
          <w:szCs w:val="24"/>
        </w:rPr>
      </w:pPr>
    </w:p>
    <w:tbl>
      <w:tblPr>
        <w:tblStyle w:val="T2"/>
        <w:tblW w:w="0" w:type="auto"/>
        <w:tblInd w:w="-284" w:type="dxa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9639" w:type="dxa"/>
          </w:tcPr>
          <w:p>
            <w:pPr>
              <w:tabs>
                <w:tab w:val="left" w:pos="851" w:leader="none"/>
              </w:tabs>
              <w:spacing w:before="40" w:after="40" w:beforeAutospacing="0" w:afterAutospacing="0"/>
              <w:contextualSpacing w:val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bookmarkStart w:id="3" w:name="_Hlk133252576" w:colFirst="0" w:colLast="0"/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Цей документ засвідчено електронною печаткою Центрального депозитарію цінних паперів.</w:t>
            </w:r>
          </w:p>
          <w:p>
            <w:pPr>
              <w:tabs>
                <w:tab w:val="left" w:pos="851" w:leader="none"/>
              </w:tabs>
              <w:spacing w:before="40" w:after="40" w:beforeAutospacing="0" w:afterAutospacing="0"/>
              <w:contextualSpacing w:val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tabs>
                <w:tab w:val="left" w:pos="851" w:leader="none"/>
              </w:tabs>
              <w:spacing w:before="40" w:after="40" w:beforeAutospacing="0" w:afterAutospacing="0"/>
              <w:contextualSpacing w:val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Цей Протокол про підсумки голосування складено в дату і час його підписання особою, уповноваженою взаємодіяти з Авторизованою електронною системою. Інформація про дату та час підписання Протоколу про підсумки голосування шляхом накладення електронного підпису розкривається при перевірці електронного підпису.</w:t>
            </w:r>
          </w:p>
        </w:tc>
      </w:tr>
    </w:tbl>
    <w:p>
      <w:pPr>
        <w:ind w:left="-142"/>
        <w:rPr>
          <w:rFonts w:ascii="Times New Roman" w:hAnsi="Times New Roman" w:cs="Times New Roman"/>
          <w:sz w:val="24"/>
          <w:szCs w:val="24"/>
        </w:rPr>
      </w:pPr>
      <w:bookmarkEnd w:id="3"/>
    </w:p>
    <w:tbl>
      <w:tblPr>
        <w:tblStyle w:val="T2"/>
        <w:tblW w:w="0" w:type="auto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5387" w:type="dxa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bookmarkStart w:id="4" w:name="_Hlk141380045" w:colFirst="0" w:colLast="1"/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Особи, уповноважені взаємодіяти з Авторизованою електронною системою: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bookmarkEnd w:id="4"/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1. Голодненко Вікторія Олександрівна</w:t>
      </w: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>2. Подзізей Марта Ігорівна</w:t>
      </w: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 xml:space="preserve">3. Цубера Ігор Васильович 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</w:p>
    <w:sectPr>
      <w:type w:val="nextPage"/>
      <w:pgSz w:w="11906" w:h="16838" w:code="0"/>
      <w:pgMar w:left="1701" w:right="850" w:top="1134" w:bottom="1134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0"/>
  <w:hyphenationZone w:val="425"/>
  <w:evenAndOddHeaders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lang w:val="uk-UA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List Paragraph"/>
    <w:basedOn w:val="P0"/>
    <w:qFormat/>
    <w:pPr>
      <w:ind w:left="720"/>
      <w:contextualSpacing w:val="1"/>
    </w:pPr>
    <w:rPr/>
  </w:style>
  <w:style w:type="paragraph" w:styleId="P2">
    <w:name w:val="annotation text"/>
    <w:basedOn w:val="P0"/>
    <w:link w:val="C3"/>
    <w:semiHidden/>
    <w:pPr>
      <w:spacing w:lineRule="auto" w:line="240" w:beforeAutospacing="0" w:afterAutospacing="0"/>
    </w:pPr>
    <w:rPr>
      <w:sz w:val="20"/>
      <w:szCs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Текст примітки Знак"/>
    <w:basedOn w:val="C0"/>
    <w:link w:val="P2"/>
    <w:semiHidden/>
    <w:rPr>
      <w:sz w:val="20"/>
      <w:szCs w:val="20"/>
    </w:rPr>
  </w:style>
  <w:style w:type="character" w:styleId="C4">
    <w:name w:val="annotation reference"/>
    <w:basedOn w:val="C0"/>
    <w:semiHidden/>
    <w:rPr>
      <w:sz w:val="16"/>
      <w:szCs w:val="16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table" w:styleId="T3">
    <w:name w:val="Table Grid1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table" w:styleId="T4">
    <w:name w:val="Table Grid2"/>
    <w:basedOn w:val="T0"/>
    <w:pPr>
      <w:spacing w:lineRule="auto" w:line="240" w:after="0" w:beforeAutospacing="0" w:afterAutospacing="0"/>
    </w:pPr>
    <w:rPr>
      <w:rFonts w:ascii="Calibri" w:hAnsi="Calibri" w:cs="Times New Roman" w:eastAsia="Calibri"/>
    </w:r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table" w:styleId="T5">
    <w:name w:val="Table Grid3"/>
    <w:basedOn w:val="T0"/>
    <w:pPr>
      <w:spacing w:lineRule="auto" w:line="240" w:after="0" w:beforeAutospacing="0" w:afterAutospacing="0"/>
    </w:pPr>
    <w:rPr>
      <w:rFonts w:ascii="Calibri" w:hAnsi="Calibri" w:cs="Times New Roman" w:eastAsia="Calibri"/>
    </w:r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Relationship Id="RelItem1" Type="http://schemas.openxmlformats.org/officeDocument/2006/relationships/customXml" Target="../customXml/item1.xml" /><Relationship Id="RelItem2" Type="http://schemas.openxmlformats.org/officeDocument/2006/relationships/customXml" Target="../customXml/item2.xml" /><Relationship Id="RelItem3" Type="http://schemas.openxmlformats.org/officeDocument/2006/relationships/customXml" Target="../customXml/item3.xml" /><Relationship Id="RelItem4" Type="http://schemas.openxmlformats.org/officeDocument/2006/relationships/customXml" Target="../customXml/item4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32BBC60D5A1EA4D93AC0861CD7E5B14" ma:contentTypeVersion="5" ma:contentTypeDescription="Створення нового документа." ma:contentTypeScope="" ma:versionID="1c00ad86b2673ba1245e974e895759a5">
  <xsd:schema xmlns:xsd="http://www.w3.org/2001/XMLSchema" xmlns:xs="http://www.w3.org/2001/XMLSchema" xmlns:p="http://schemas.microsoft.com/office/2006/metadata/properties" xmlns:ns2="98b98d37-ebbb-4a39-ab84-b1238f807dc3" xmlns:ns3="76bfb5bb-1604-4d72-9843-8830db66fd49" targetNamespace="http://schemas.microsoft.com/office/2006/metadata/properties" ma:root="true" ma:fieldsID="15d51a2461185126bbf249cff44bf723" ns2:_="" ns3:_="">
    <xsd:import namespace="98b98d37-ebbb-4a39-ab84-b1238f807dc3"/>
    <xsd:import namespace="76bfb5bb-1604-4d72-9843-8830db66f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b98d37-ebbb-4a39-ab84-b1238f807d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fb5bb-1604-4d72-9843-8830db66f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8a48c4-5e80-43c6-b1f4-7f35379e3d6c}">
  <ds:schemaRefs>
    <ds:schemaRef ds:uri="http://schemas.microsoft.com/vsto/samples"/>
  </ds:schemaRefs>
</ds:datastoreItem>
</file>

<file path=customXml/itemProps2.xml><?xml version="1.0" encoding="utf-8"?>
<ds:datastoreItem xmlns:ds="http://schemas.openxmlformats.org/officeDocument/2006/customXml" ds:itemID="{c65f4ef5-04cc-46b1-b4f4-9adebb77f45a}">
  <ds:schemaRefs>
    <ds:schemaRef ds:uri="http://schemas.microsoft.com/vsto/samples"/>
  </ds:schemaRefs>
</ds:datastoreItem>
</file>

<file path=customXml/itemProps3.xml><?xml version="1.0" encoding="utf-8"?>
<ds:datastoreItem xmlns:ds="http://schemas.openxmlformats.org/officeDocument/2006/customXml" ds:itemID="{de6d61dd-8c20-489a-bfb5-0d74034fdf13}">
  <ds:schemaRefs>
    <ds:schemaRef ds:uri="http://schemas.microsoft.com/vsto/samples"/>
  </ds:schemaRefs>
</ds:datastoreItem>
</file>

<file path=customXml/itemProps4.xml><?xml version="1.0" encoding="utf-8"?>
<ds:datastoreItem xmlns:ds="http://schemas.openxmlformats.org/officeDocument/2006/customXml" ds:itemID="{de036027-35b9-4ffc-9534-ddca6d021f48}">
  <ds:schemaRefs>
    <ds:schemaRef ds:uri="http://schemas.microsoft.com/vsto/samples"/>
  </ds:schemaRefs>
</ds:datastoreItem>
</file>

<file path=docProps/app.xml><?xml version="1.0" encoding="utf-8"?>
<Properties xmlns="http://schemas.openxmlformats.org/officeDocument/2006/extended-properties">
  <Application>DevExpress Office File API/22.2.3.0</Application>
  <AppVersion>22.2</AppVersion>
  <Template>Normal.dotm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Дмитро Панчугін</dc:creator>
  <dcterms:created xsi:type="dcterms:W3CDTF">2023-08-13T16:34:00Z</dcterms:created>
  <dcterms:modified xsi:type="dcterms:W3CDTF">2025-08-14T13:11:16Z</dcterms:modified>
  <cp:revision>118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0x010100A32BBC60D5A1EA4D93AC0861CD7E5B14</vt:lpwstr>
  </property>
</Properties>
</file>